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238A3" w14:textId="77777777" w:rsidR="0059718A" w:rsidRDefault="0059718A" w:rsidP="0059718A">
      <w:pPr>
        <w:pStyle w:val="Bodytext30"/>
        <w:shd w:val="clear" w:color="auto" w:fill="auto"/>
      </w:pPr>
      <w:r w:rsidRPr="0059718A">
        <w:t>Methodology of 14 December 2018 for monitoring the electricity market for final customers served by suppliers of last resort</w:t>
      </w:r>
    </w:p>
    <w:p w14:paraId="4CC6E89A" w14:textId="68A3717F" w:rsidR="0059718A" w:rsidRDefault="00AE2BD1" w:rsidP="0059718A">
      <w:pPr>
        <w:pStyle w:val="Bodytext30"/>
        <w:shd w:val="clear" w:color="auto" w:fill="auto"/>
      </w:pPr>
      <w:r>
        <w:t>Issuer: National Energy Regulatory Authority</w:t>
      </w:r>
    </w:p>
    <w:p w14:paraId="39C3F759" w14:textId="77777777" w:rsidR="0059718A" w:rsidRPr="00347FF3" w:rsidRDefault="0059718A" w:rsidP="0059718A">
      <w:pPr>
        <w:pStyle w:val="Bodytext20"/>
        <w:spacing w:line="266" w:lineRule="exact"/>
        <w:jc w:val="both"/>
        <w:rPr>
          <w:b/>
        </w:rPr>
      </w:pPr>
      <w:r w:rsidRPr="00347FF3">
        <w:rPr>
          <w:b/>
        </w:rPr>
        <w:t>Art. 13</w:t>
      </w:r>
    </w:p>
    <w:p w14:paraId="2DF4E9D3" w14:textId="77777777" w:rsidR="0059718A" w:rsidRDefault="0059718A" w:rsidP="0059718A">
      <w:pPr>
        <w:pStyle w:val="Bodytext20"/>
        <w:spacing w:line="266" w:lineRule="exact"/>
        <w:jc w:val="both"/>
      </w:pPr>
      <w:r>
        <w:t xml:space="preserve">(1) The activity of monitoring the electricity market for the final customers served by </w:t>
      </w:r>
      <w:proofErr w:type="spellStart"/>
      <w:r>
        <w:t>Fui</w:t>
      </w:r>
      <w:proofErr w:type="spellEnd"/>
      <w:r>
        <w:t xml:space="preserve">, carried out by AN RE through the </w:t>
      </w:r>
      <w:proofErr w:type="spellStart"/>
      <w:r>
        <w:t>specialised</w:t>
      </w:r>
      <w:proofErr w:type="spellEnd"/>
      <w:r>
        <w:t xml:space="preserve"> directorate, is based on the collection of data/information monthly from each </w:t>
      </w:r>
      <w:proofErr w:type="spellStart"/>
      <w:r>
        <w:t>fui</w:t>
      </w:r>
      <w:proofErr w:type="spellEnd"/>
      <w:r>
        <w:t xml:space="preserve">. </w:t>
      </w:r>
    </w:p>
    <w:p w14:paraId="27BB0AFC" w14:textId="77777777" w:rsidR="0059718A" w:rsidRDefault="0059718A" w:rsidP="0059718A">
      <w:pPr>
        <w:pStyle w:val="Bodytext20"/>
        <w:spacing w:line="266" w:lineRule="exact"/>
        <w:jc w:val="both"/>
      </w:pPr>
      <w:r>
        <w:t xml:space="preserve">(2) The data and information necessary for the monitoring activity shall be transmitted by </w:t>
      </w:r>
      <w:proofErr w:type="spellStart"/>
      <w:r>
        <w:t>Fui</w:t>
      </w:r>
      <w:proofErr w:type="spellEnd"/>
      <w:r>
        <w:t xml:space="preserve"> to ANRE in electronic format (by uploading the processable format on the ANRE portal, until the end of the current month for the previous reporting month) and </w:t>
      </w:r>
      <w:proofErr w:type="spellStart"/>
      <w:r>
        <w:t>letrically</w:t>
      </w:r>
      <w:proofErr w:type="spellEnd"/>
      <w:r>
        <w:t xml:space="preserve"> signed (until the implementation of the electronic signature mechanism). The necessary data and information shall be transmitted by </w:t>
      </w:r>
      <w:proofErr w:type="spellStart"/>
      <w:r>
        <w:t>Fui</w:t>
      </w:r>
      <w:proofErr w:type="spellEnd"/>
      <w:r>
        <w:t xml:space="preserve"> to ANRE correctly, completely and within the specified deadline, with due respect to the content, formats and other requirements contained in the instructions for completing the monitoring models, published on the ANRE website. </w:t>
      </w:r>
    </w:p>
    <w:p w14:paraId="4DA13C63" w14:textId="77777777" w:rsidR="0059718A" w:rsidRDefault="0059718A" w:rsidP="0059718A">
      <w:pPr>
        <w:pStyle w:val="Bodytext20"/>
        <w:spacing w:line="266" w:lineRule="exact"/>
        <w:jc w:val="both"/>
      </w:pPr>
      <w:r>
        <w:t xml:space="preserve">(3) The collection of data in electronic format shall be carried out via the ANRE portal and only exceptionally, in case of analytical needs that ANRE identifies, on the e-mail address intended to receive the reports from the network. </w:t>
      </w:r>
    </w:p>
    <w:p w14:paraId="3D968FCF" w14:textId="77777777" w:rsidR="0059718A" w:rsidRDefault="0059718A" w:rsidP="0059718A">
      <w:pPr>
        <w:pStyle w:val="Bodytext20"/>
        <w:spacing w:line="266" w:lineRule="exact"/>
        <w:jc w:val="both"/>
      </w:pPr>
      <w:r>
        <w:t xml:space="preserve">(4) For the development of electricity market monitoring reports for final customers served by </w:t>
      </w:r>
      <w:proofErr w:type="spellStart"/>
      <w:r>
        <w:t>fui</w:t>
      </w:r>
      <w:proofErr w:type="spellEnd"/>
      <w:r>
        <w:t xml:space="preserve">, the data contained in the monthly monitoring reports are taken from the ANRE database, based on analysis reports. </w:t>
      </w:r>
    </w:p>
    <w:p w14:paraId="5417DCFA" w14:textId="77777777" w:rsidR="0059718A" w:rsidRDefault="0059718A" w:rsidP="0059718A">
      <w:pPr>
        <w:pStyle w:val="Bodytext20"/>
        <w:spacing w:line="266" w:lineRule="exact"/>
        <w:jc w:val="both"/>
      </w:pPr>
      <w:r>
        <w:t xml:space="preserve">(5) Monitoring machinations shall be reviewed whenever changes to the regulatory framework have an impact on their components, and the updated version is published on the ANRE website and transmitted by e-mail to </w:t>
      </w:r>
      <w:proofErr w:type="spellStart"/>
      <w:r>
        <w:t>FUIob</w:t>
      </w:r>
      <w:proofErr w:type="spellEnd"/>
      <w:r>
        <w:t>/</w:t>
      </w:r>
      <w:proofErr w:type="spellStart"/>
      <w:r>
        <w:t>FUIop</w:t>
      </w:r>
      <w:proofErr w:type="spellEnd"/>
      <w:r>
        <w:t xml:space="preserve">.  </w:t>
      </w:r>
    </w:p>
    <w:p w14:paraId="05933D27" w14:textId="3FC570D9" w:rsidR="00B160E6" w:rsidRDefault="0059718A" w:rsidP="0059718A">
      <w:pPr>
        <w:pStyle w:val="Bodytext20"/>
        <w:shd w:val="clear" w:color="auto" w:fill="auto"/>
        <w:spacing w:before="0" w:after="0" w:line="266" w:lineRule="exact"/>
        <w:jc w:val="both"/>
      </w:pPr>
      <w:r>
        <w:t xml:space="preserve">(6) Depending on requests for reporting or analysis submitted by various national and/or European institutions or on their regulatory/monitoring/reporting needs, additional data and information on the work carried out by the </w:t>
      </w:r>
      <w:proofErr w:type="spellStart"/>
      <w:r>
        <w:t>Fui</w:t>
      </w:r>
      <w:proofErr w:type="spellEnd"/>
      <w:r>
        <w:t xml:space="preserve"> may be collected at the written and justified request of ANRE.</w:t>
      </w:r>
    </w:p>
    <w:p w14:paraId="14870010" w14:textId="1A1A2761" w:rsidR="00C10DB0" w:rsidRDefault="00C10DB0" w:rsidP="0059718A">
      <w:pPr>
        <w:pStyle w:val="Bodytext20"/>
        <w:shd w:val="clear" w:color="auto" w:fill="auto"/>
        <w:spacing w:before="0" w:after="0" w:line="266" w:lineRule="exact"/>
        <w:jc w:val="both"/>
      </w:pPr>
    </w:p>
    <w:p w14:paraId="4D75F9CE" w14:textId="77777777" w:rsidR="00C10DB0" w:rsidRPr="00C10DB0" w:rsidRDefault="00C10DB0" w:rsidP="00C10DB0">
      <w:pPr>
        <w:pStyle w:val="Bodytext20"/>
        <w:spacing w:line="266" w:lineRule="exact"/>
        <w:jc w:val="both"/>
        <w:rPr>
          <w:b/>
        </w:rPr>
      </w:pPr>
      <w:r w:rsidRPr="00C10DB0">
        <w:rPr>
          <w:b/>
        </w:rPr>
        <w:t>SECTION 2: Data required in the monitoring activity</w:t>
      </w:r>
    </w:p>
    <w:p w14:paraId="41FD3338" w14:textId="77777777" w:rsidR="00C10DB0" w:rsidRPr="00C10DB0" w:rsidRDefault="00C10DB0" w:rsidP="00C10DB0">
      <w:pPr>
        <w:pStyle w:val="Bodytext20"/>
        <w:spacing w:line="266" w:lineRule="exact"/>
        <w:jc w:val="both"/>
        <w:rPr>
          <w:b/>
        </w:rPr>
      </w:pPr>
      <w:r w:rsidRPr="00C10DB0">
        <w:rPr>
          <w:b/>
        </w:rPr>
        <w:t>Art. 14</w:t>
      </w:r>
    </w:p>
    <w:p w14:paraId="29A2CDF3" w14:textId="77777777" w:rsidR="00C10DB0" w:rsidRDefault="00C10DB0" w:rsidP="00C10DB0">
      <w:pPr>
        <w:pStyle w:val="Bodytext20"/>
        <w:spacing w:line="266" w:lineRule="exact"/>
        <w:jc w:val="both"/>
      </w:pPr>
      <w:r>
        <w:t xml:space="preserve">For electricity market monitoring activity for final customers served by </w:t>
      </w:r>
      <w:proofErr w:type="spellStart"/>
      <w:r>
        <w:t>fui</w:t>
      </w:r>
      <w:proofErr w:type="spellEnd"/>
      <w:r>
        <w:t xml:space="preserve">, each </w:t>
      </w:r>
      <w:proofErr w:type="spellStart"/>
      <w:r>
        <w:t>fui</w:t>
      </w:r>
      <w:proofErr w:type="spellEnd"/>
      <w:r>
        <w:t xml:space="preserve"> shall transmit the following data monthly: </w:t>
      </w:r>
    </w:p>
    <w:p w14:paraId="65C3BE9D" w14:textId="77777777" w:rsidR="00C10DB0" w:rsidRDefault="00C10DB0" w:rsidP="00C10DB0">
      <w:pPr>
        <w:pStyle w:val="Bodytext20"/>
        <w:spacing w:line="266" w:lineRule="exact"/>
        <w:jc w:val="both"/>
      </w:pPr>
      <w:r>
        <w:t xml:space="preserve">a) the total number of customers served; </w:t>
      </w:r>
    </w:p>
    <w:p w14:paraId="217476FC" w14:textId="4B8D0340" w:rsidR="00C10DB0" w:rsidRDefault="00C10DB0" w:rsidP="00C10DB0">
      <w:pPr>
        <w:pStyle w:val="Bodytext20"/>
        <w:spacing w:line="266" w:lineRule="exact"/>
        <w:jc w:val="both"/>
      </w:pPr>
      <w:r>
        <w:lastRenderedPageBreak/>
        <w:t>c</w:t>
      </w:r>
      <w:r>
        <w:t xml:space="preserve">) the number of places of consumption of final customers for which they supply electricity, by total and broken down by type of final customer (household and non-household), price applied (only in the case of </w:t>
      </w:r>
      <w:proofErr w:type="spellStart"/>
      <w:r>
        <w:t>FUIob</w:t>
      </w:r>
      <w:proofErr w:type="spellEnd"/>
      <w:r>
        <w:t xml:space="preserve">), urban and rural environment and network area; </w:t>
      </w:r>
    </w:p>
    <w:p w14:paraId="0C05753F" w14:textId="7181254D" w:rsidR="00C10DB0" w:rsidRDefault="00C10DB0" w:rsidP="00C10DB0">
      <w:pPr>
        <w:pStyle w:val="Bodytext20"/>
        <w:spacing w:line="266" w:lineRule="exact"/>
        <w:jc w:val="both"/>
      </w:pPr>
      <w:r>
        <w:t>c</w:t>
      </w:r>
      <w:r>
        <w:t xml:space="preserve">) the number of places of consumption that migrate to/from the portfolio of a pipe; </w:t>
      </w:r>
    </w:p>
    <w:p w14:paraId="486FA13E" w14:textId="77777777" w:rsidR="00C10DB0" w:rsidRDefault="00C10DB0" w:rsidP="00C10DB0">
      <w:pPr>
        <w:pStyle w:val="Bodytext20"/>
        <w:spacing w:line="266" w:lineRule="exact"/>
        <w:jc w:val="both"/>
      </w:pPr>
      <w:r>
        <w:t xml:space="preserve">d) Electricity purchased on </w:t>
      </w:r>
      <w:proofErr w:type="spellStart"/>
      <w:r>
        <w:t>centralised</w:t>
      </w:r>
      <w:proofErr w:type="spellEnd"/>
      <w:r>
        <w:t xml:space="preserve"> markets managed by OPCOM – S.A. (PCC, PZU and PI) and negotiated contracts, in accordance with the legal framework, for final customers served, broken down by type of final customer and applied price – quantity and value; </w:t>
      </w:r>
    </w:p>
    <w:p w14:paraId="7D899991" w14:textId="77777777" w:rsidR="00C10DB0" w:rsidRDefault="00C10DB0" w:rsidP="00C10DB0">
      <w:pPr>
        <w:pStyle w:val="Bodytext20"/>
        <w:spacing w:line="266" w:lineRule="exact"/>
        <w:jc w:val="both"/>
      </w:pPr>
      <w:r>
        <w:t xml:space="preserve">e) electricity sold on PZU and PI, broken down by type of final client (household, non-household) and applied price – quantity and value; </w:t>
      </w:r>
    </w:p>
    <w:p w14:paraId="22D54BE9" w14:textId="25C6E669" w:rsidR="00C10DB0" w:rsidRDefault="00C10DB0" w:rsidP="00C10DB0">
      <w:pPr>
        <w:pStyle w:val="Bodytext20"/>
        <w:spacing w:line="266" w:lineRule="exact"/>
        <w:jc w:val="both"/>
      </w:pPr>
      <w:r>
        <w:t>f</w:t>
      </w:r>
      <w:r>
        <w:t xml:space="preserve">) electricity sold to final customers, broken down by type of final customer (household, non-household and total) and applied price type – quantity and value; </w:t>
      </w:r>
    </w:p>
    <w:p w14:paraId="6BCDE369" w14:textId="77777777" w:rsidR="00C10DB0" w:rsidRDefault="00C10DB0" w:rsidP="00C10DB0">
      <w:pPr>
        <w:pStyle w:val="Bodytext20"/>
        <w:spacing w:line="266" w:lineRule="exact"/>
        <w:jc w:val="both"/>
      </w:pPr>
      <w:r>
        <w:t xml:space="preserve">g) quantitative and value imbalances and additional costs/incomes resulting from final settlements in the balancing market allocated to PREs, corresponding to the final customers served; </w:t>
      </w:r>
    </w:p>
    <w:p w14:paraId="549A3512" w14:textId="77777777" w:rsidR="00C10DB0" w:rsidRDefault="00C10DB0" w:rsidP="00C10DB0">
      <w:pPr>
        <w:pStyle w:val="Bodytext20"/>
        <w:spacing w:line="266" w:lineRule="exact"/>
        <w:jc w:val="both"/>
      </w:pPr>
      <w:r>
        <w:t xml:space="preserve">h) the amount of network tariffs (transport, distribution), the system service tariff, the cost of participation in the </w:t>
      </w:r>
      <w:proofErr w:type="spellStart"/>
      <w:r>
        <w:t>centralised</w:t>
      </w:r>
      <w:proofErr w:type="spellEnd"/>
      <w:r>
        <w:t xml:space="preserve"> markets managed by OPCOM – SA and the cost of the supply activity, broken down by type of price applied and by final customer (household, non-household); </w:t>
      </w:r>
    </w:p>
    <w:p w14:paraId="3AF2CC2E" w14:textId="4CAB8EBB" w:rsidR="00C10DB0" w:rsidRDefault="00C10DB0" w:rsidP="00C10DB0">
      <w:pPr>
        <w:pStyle w:val="Bodytext20"/>
        <w:spacing w:line="266" w:lineRule="exact"/>
        <w:jc w:val="both"/>
      </w:pPr>
      <w:proofErr w:type="spellStart"/>
      <w:r>
        <w:t>i</w:t>
      </w:r>
      <w:proofErr w:type="spellEnd"/>
      <w:r>
        <w:t xml:space="preserve">) the amount of taxes (excise, VAT) and support schemes (green certificates, contribution for cogeneration, etc.), broken down by price type applied and final customer (household and non-household);  </w:t>
      </w:r>
    </w:p>
    <w:p w14:paraId="7865653D" w14:textId="252761FE" w:rsidR="00C10DB0" w:rsidRDefault="00C10DB0" w:rsidP="00C10DB0">
      <w:pPr>
        <w:pStyle w:val="Bodytext20"/>
        <w:shd w:val="clear" w:color="auto" w:fill="auto"/>
        <w:spacing w:before="0" w:after="0" w:line="266" w:lineRule="exact"/>
        <w:jc w:val="both"/>
      </w:pPr>
      <w:r>
        <w:t xml:space="preserve">j) </w:t>
      </w:r>
      <w:r>
        <w:t xml:space="preserve">the structure of the cost of supply, by main cost categories (for </w:t>
      </w:r>
      <w:proofErr w:type="spellStart"/>
      <w:r>
        <w:t>FUIob</w:t>
      </w:r>
      <w:proofErr w:type="spellEnd"/>
      <w:r>
        <w:t xml:space="preserve"> only).</w:t>
      </w:r>
      <w:bookmarkStart w:id="0" w:name="_GoBack"/>
      <w:bookmarkEnd w:id="0"/>
    </w:p>
    <w:sectPr w:rsidR="00C10DB0">
      <w:pgSz w:w="11900" w:h="16840"/>
      <w:pgMar w:top="1549" w:right="1431" w:bottom="1486" w:left="139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1B3E1" w14:textId="77777777" w:rsidR="00EB5EFD" w:rsidRDefault="00EB5EFD">
      <w:r>
        <w:separator/>
      </w:r>
    </w:p>
  </w:endnote>
  <w:endnote w:type="continuationSeparator" w:id="0">
    <w:p w14:paraId="574A1A86" w14:textId="77777777" w:rsidR="00EB5EFD" w:rsidRDefault="00EB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A63A3" w14:textId="77777777" w:rsidR="00EB5EFD" w:rsidRDefault="00EB5EFD"/>
  </w:footnote>
  <w:footnote w:type="continuationSeparator" w:id="0">
    <w:p w14:paraId="738B56D5" w14:textId="77777777" w:rsidR="00EB5EFD" w:rsidRDefault="00EB5E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542"/>
    <w:multiLevelType w:val="multilevel"/>
    <w:tmpl w:val="33FCD6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24A4F"/>
    <w:multiLevelType w:val="multilevel"/>
    <w:tmpl w:val="2050EB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466AC"/>
    <w:multiLevelType w:val="multilevel"/>
    <w:tmpl w:val="4882F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D43AEF"/>
    <w:multiLevelType w:val="multilevel"/>
    <w:tmpl w:val="2D48A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8A1F44"/>
    <w:multiLevelType w:val="multilevel"/>
    <w:tmpl w:val="51DA8A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030041"/>
    <w:multiLevelType w:val="multilevel"/>
    <w:tmpl w:val="C94E2F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434A56"/>
    <w:multiLevelType w:val="multilevel"/>
    <w:tmpl w:val="3878B1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D44D46"/>
    <w:multiLevelType w:val="multilevel"/>
    <w:tmpl w:val="928EF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866F95"/>
    <w:multiLevelType w:val="multilevel"/>
    <w:tmpl w:val="D38EA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C01BD"/>
    <w:multiLevelType w:val="multilevel"/>
    <w:tmpl w:val="A5F648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77E88"/>
    <w:multiLevelType w:val="multilevel"/>
    <w:tmpl w:val="ECD42F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C452C"/>
    <w:multiLevelType w:val="multilevel"/>
    <w:tmpl w:val="B8F623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FE2928"/>
    <w:multiLevelType w:val="multilevel"/>
    <w:tmpl w:val="320EA8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4459EE"/>
    <w:multiLevelType w:val="multilevel"/>
    <w:tmpl w:val="73DC4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C7562C"/>
    <w:multiLevelType w:val="multilevel"/>
    <w:tmpl w:val="35A8C7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615341"/>
    <w:multiLevelType w:val="multilevel"/>
    <w:tmpl w:val="547A5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FE42CB"/>
    <w:multiLevelType w:val="multilevel"/>
    <w:tmpl w:val="5A5004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023B52"/>
    <w:multiLevelType w:val="multilevel"/>
    <w:tmpl w:val="083E8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29565C"/>
    <w:multiLevelType w:val="multilevel"/>
    <w:tmpl w:val="AF780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B83228"/>
    <w:multiLevelType w:val="multilevel"/>
    <w:tmpl w:val="C39CEB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3D4F4A"/>
    <w:multiLevelType w:val="multilevel"/>
    <w:tmpl w:val="2EDA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837AC1"/>
    <w:multiLevelType w:val="multilevel"/>
    <w:tmpl w:val="23806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3513F6"/>
    <w:multiLevelType w:val="multilevel"/>
    <w:tmpl w:val="0382E2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6A1B6A"/>
    <w:multiLevelType w:val="multilevel"/>
    <w:tmpl w:val="AFDC1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A776CE"/>
    <w:multiLevelType w:val="multilevel"/>
    <w:tmpl w:val="32C86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8901C6"/>
    <w:multiLevelType w:val="multilevel"/>
    <w:tmpl w:val="887A23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E00694"/>
    <w:multiLevelType w:val="multilevel"/>
    <w:tmpl w:val="024EE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97013E"/>
    <w:multiLevelType w:val="multilevel"/>
    <w:tmpl w:val="91A6F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B920E8"/>
    <w:multiLevelType w:val="multilevel"/>
    <w:tmpl w:val="188AEA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C66719"/>
    <w:multiLevelType w:val="multilevel"/>
    <w:tmpl w:val="F86E4A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2C2D65"/>
    <w:multiLevelType w:val="multilevel"/>
    <w:tmpl w:val="5268F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4C7BB0"/>
    <w:multiLevelType w:val="multilevel"/>
    <w:tmpl w:val="A1EC66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8D1AC2"/>
    <w:multiLevelType w:val="multilevel"/>
    <w:tmpl w:val="5FEEB1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3100EA"/>
    <w:multiLevelType w:val="multilevel"/>
    <w:tmpl w:val="7A3275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E500B5"/>
    <w:multiLevelType w:val="multilevel"/>
    <w:tmpl w:val="AC886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C15FF5"/>
    <w:multiLevelType w:val="multilevel"/>
    <w:tmpl w:val="2B1881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117CC2"/>
    <w:multiLevelType w:val="multilevel"/>
    <w:tmpl w:val="C82CF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243F19"/>
    <w:multiLevelType w:val="multilevel"/>
    <w:tmpl w:val="A0BCD2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C3D0F0B"/>
    <w:multiLevelType w:val="multilevel"/>
    <w:tmpl w:val="B18E2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3"/>
  </w:num>
  <w:num w:numId="3">
    <w:abstractNumId w:val="12"/>
  </w:num>
  <w:num w:numId="4">
    <w:abstractNumId w:val="31"/>
  </w:num>
  <w:num w:numId="5">
    <w:abstractNumId w:val="38"/>
  </w:num>
  <w:num w:numId="6">
    <w:abstractNumId w:val="25"/>
  </w:num>
  <w:num w:numId="7">
    <w:abstractNumId w:val="3"/>
  </w:num>
  <w:num w:numId="8">
    <w:abstractNumId w:val="0"/>
  </w:num>
  <w:num w:numId="9">
    <w:abstractNumId w:val="26"/>
  </w:num>
  <w:num w:numId="10">
    <w:abstractNumId w:val="33"/>
  </w:num>
  <w:num w:numId="11">
    <w:abstractNumId w:val="18"/>
  </w:num>
  <w:num w:numId="12">
    <w:abstractNumId w:val="37"/>
  </w:num>
  <w:num w:numId="13">
    <w:abstractNumId w:val="15"/>
  </w:num>
  <w:num w:numId="14">
    <w:abstractNumId w:val="22"/>
  </w:num>
  <w:num w:numId="15">
    <w:abstractNumId w:val="34"/>
  </w:num>
  <w:num w:numId="16">
    <w:abstractNumId w:val="10"/>
  </w:num>
  <w:num w:numId="17">
    <w:abstractNumId w:val="2"/>
  </w:num>
  <w:num w:numId="18">
    <w:abstractNumId w:val="1"/>
  </w:num>
  <w:num w:numId="19">
    <w:abstractNumId w:val="32"/>
  </w:num>
  <w:num w:numId="20">
    <w:abstractNumId w:val="29"/>
  </w:num>
  <w:num w:numId="21">
    <w:abstractNumId w:val="23"/>
  </w:num>
  <w:num w:numId="22">
    <w:abstractNumId w:val="6"/>
  </w:num>
  <w:num w:numId="23">
    <w:abstractNumId w:val="14"/>
  </w:num>
  <w:num w:numId="24">
    <w:abstractNumId w:val="30"/>
  </w:num>
  <w:num w:numId="25">
    <w:abstractNumId w:val="19"/>
  </w:num>
  <w:num w:numId="26">
    <w:abstractNumId w:val="17"/>
  </w:num>
  <w:num w:numId="27">
    <w:abstractNumId w:val="4"/>
  </w:num>
  <w:num w:numId="28">
    <w:abstractNumId w:val="20"/>
  </w:num>
  <w:num w:numId="29">
    <w:abstractNumId w:val="9"/>
  </w:num>
  <w:num w:numId="30">
    <w:abstractNumId w:val="5"/>
  </w:num>
  <w:num w:numId="31">
    <w:abstractNumId w:val="35"/>
  </w:num>
  <w:num w:numId="32">
    <w:abstractNumId w:val="27"/>
  </w:num>
  <w:num w:numId="33">
    <w:abstractNumId w:val="11"/>
  </w:num>
  <w:num w:numId="34">
    <w:abstractNumId w:val="8"/>
  </w:num>
  <w:num w:numId="35">
    <w:abstractNumId w:val="16"/>
  </w:num>
  <w:num w:numId="36">
    <w:abstractNumId w:val="24"/>
  </w:num>
  <w:num w:numId="37">
    <w:abstractNumId w:val="36"/>
  </w:num>
  <w:num w:numId="38">
    <w:abstractNumId w:val="2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B160E6"/>
    <w:rsid w:val="00347FF3"/>
    <w:rsid w:val="0059718A"/>
    <w:rsid w:val="007E48FF"/>
    <w:rsid w:val="00AE2BD1"/>
    <w:rsid w:val="00B160E6"/>
    <w:rsid w:val="00C10DB0"/>
    <w:rsid w:val="00EB5E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4:docId w14:val="13E18F3F"/>
  <w15:docId w15:val="{724C218A-1CD9-3A49-A49E-45121E51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ro-RO" w:bidi="ro-RO"/>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rPr>
      <w:b/>
      <w:bCs/>
      <w:i w:val="0"/>
      <w:iCs w:val="0"/>
      <w:smallCaps w:val="0"/>
      <w:strike w:val="0"/>
      <w:u w:val="none"/>
    </w:rPr>
  </w:style>
  <w:style w:type="character" w:customStyle="1" w:styleId="Bodytext2">
    <w:name w:val="Body text|2_"/>
    <w:basedOn w:val="DefaultParagraphFont"/>
    <w:link w:val="Bodytext20"/>
    <w:rPr>
      <w:b w:val="0"/>
      <w:bCs w:val="0"/>
      <w:i w:val="0"/>
      <w:iCs w:val="0"/>
      <w:smallCaps w:val="0"/>
      <w:strike w:val="0"/>
      <w:u w:val="none"/>
    </w:rPr>
  </w:style>
  <w:style w:type="character" w:customStyle="1" w:styleId="Bodytext3">
    <w:name w:val="Body text|3_"/>
    <w:basedOn w:val="DefaultParagraphFont"/>
    <w:link w:val="Bodytext30"/>
    <w:rPr>
      <w:b/>
      <w:bCs/>
      <w:i w:val="0"/>
      <w:iCs w:val="0"/>
      <w:smallCaps w:val="0"/>
      <w:strike w:val="0"/>
      <w:u w:val="none"/>
    </w:rPr>
  </w:style>
  <w:style w:type="character" w:customStyle="1" w:styleId="Bodytext21">
    <w:name w:val="Body text|2"/>
    <w:basedOn w:val="Bodytext2"/>
    <w:semiHidden/>
    <w:unhideWhenUsed/>
    <w:rPr>
      <w:rFonts w:ascii="Times New Roman" w:eastAsia="Times New Roman" w:hAnsi="Times New Roman" w:cs="Times New Roman"/>
      <w:b w:val="0"/>
      <w:bCs w:val="0"/>
      <w:i w:val="0"/>
      <w:iCs w:val="0"/>
      <w:smallCaps w:val="0"/>
      <w:strike w:val="0"/>
      <w:color w:val="1B1B1B"/>
      <w:spacing w:val="0"/>
      <w:w w:val="100"/>
      <w:position w:val="0"/>
      <w:sz w:val="24"/>
      <w:szCs w:val="24"/>
      <w:u w:val="none"/>
      <w:lang w:val="en-US" w:eastAsia="ro-RO" w:bidi="ro-RO"/>
    </w:rPr>
  </w:style>
  <w:style w:type="character" w:customStyle="1" w:styleId="Heading11NotBold">
    <w:name w:val="Heading #1|1 + Not Bold"/>
    <w:basedOn w:val="Heading11"/>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ro-RO" w:bidi="ro-RO"/>
    </w:rPr>
  </w:style>
  <w:style w:type="character" w:customStyle="1" w:styleId="Bodytext2Italic">
    <w:name w:val="Body text|2 + Italic"/>
    <w:basedOn w:val="Bodytext2"/>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ro-RO" w:bidi="ro-RO"/>
    </w:rPr>
  </w:style>
  <w:style w:type="character" w:customStyle="1" w:styleId="Bodytext31">
    <w:name w:val="Body text|3"/>
    <w:basedOn w:val="Bodytext3"/>
    <w:semiHidden/>
    <w:unhideWhenUsed/>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ro-RO" w:bidi="ro-RO"/>
    </w:rPr>
  </w:style>
  <w:style w:type="paragraph" w:customStyle="1" w:styleId="Heading110">
    <w:name w:val="Heading #1|1"/>
    <w:basedOn w:val="Normal"/>
    <w:link w:val="Heading11"/>
    <w:qFormat/>
    <w:pPr>
      <w:shd w:val="clear" w:color="auto" w:fill="FFFFFF"/>
      <w:spacing w:after="240" w:line="269" w:lineRule="exact"/>
      <w:outlineLvl w:val="0"/>
    </w:pPr>
    <w:rPr>
      <w:b/>
      <w:bCs/>
    </w:rPr>
  </w:style>
  <w:style w:type="paragraph" w:customStyle="1" w:styleId="Bodytext20">
    <w:name w:val="Body text|2"/>
    <w:basedOn w:val="Normal"/>
    <w:link w:val="Bodytext2"/>
    <w:qFormat/>
    <w:pPr>
      <w:shd w:val="clear" w:color="auto" w:fill="FFFFFF"/>
      <w:spacing w:before="240" w:after="340" w:line="278" w:lineRule="exact"/>
    </w:pPr>
  </w:style>
  <w:style w:type="paragraph" w:customStyle="1" w:styleId="Bodytext30">
    <w:name w:val="Body text|3"/>
    <w:basedOn w:val="Normal"/>
    <w:link w:val="Bodytext3"/>
    <w:pPr>
      <w:shd w:val="clear" w:color="auto" w:fill="FFFFFF"/>
      <w:spacing w:after="680" w:line="266" w:lineRule="exact"/>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GIC</cp:lastModifiedBy>
  <cp:revision>4</cp:revision>
  <dcterms:created xsi:type="dcterms:W3CDTF">2020-06-28T17:14:00Z</dcterms:created>
  <dcterms:modified xsi:type="dcterms:W3CDTF">2020-06-28T17:22:00Z</dcterms:modified>
</cp:coreProperties>
</file>